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3E9" w:rsidRPr="007563E9" w:rsidRDefault="007563E9" w:rsidP="00C91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63E9" w:rsidRPr="007563E9" w:rsidRDefault="007563E9" w:rsidP="007563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бюджетам </w:t>
      </w:r>
    </w:p>
    <w:p w:rsidR="007563E9" w:rsidRPr="007563E9" w:rsidRDefault="007563E9" w:rsidP="007563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муниципальных образований Пензенской </w:t>
      </w:r>
    </w:p>
    <w:p w:rsidR="007563E9" w:rsidRPr="007563E9" w:rsidRDefault="007563E9" w:rsidP="007563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области для реализации муниципальных программ развития </w:t>
      </w:r>
    </w:p>
    <w:p w:rsidR="007563E9" w:rsidRPr="007563E9" w:rsidRDefault="007563E9" w:rsidP="007563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:rsidR="007563E9" w:rsidRPr="007563E9" w:rsidRDefault="007563E9" w:rsidP="007563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 процедуру и условия предоставления субсидий бюджетам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муниципальных образований Пензенской области (далее -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монопрофильное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муниципальное образование) за счет средств бюджета Пензенской области и средств федерального бюджета (далее – субсидия) на реализацию муниципальных программ развития малого и среднего предпринимательства  в рамках реализации подпрограммы «Развитие и  поддержка малого и среднего предпринимательства в Пензенской области на 2014 – 2020 годы» государственной программы Пензенской области «Развитие инвестиционного потенциала, инновационной деятельности и предпринимательства в Пензенской области на 2014 - 2020 годы», утвержденной постановлением Правительства Пензенской области от 21.10. 2013 № 780-пП «Об утверждении государственной программы Пензенской области «Развитие инвестиционного потенциала, инновационной деятельности и предпринимательства в Пензенской области на 2014 - 2020 годы» (с последующими изменениями).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>2. Главным распорядителем средств бюджета Пензенской области, осуществляющим предоставление субсидий в соответствии с настоящим Порядком, является Министерство экономики Пензенской области (далее – Министерство).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3. Субсидии предоставляются в целях оказания финансовой поддержки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монопрофильным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муниципальным образованиям при исполнении расходных обязательств, связанных с реализацией мероприятий муниципальных программ развития малого и среднего предпринимательства.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4. Субсидии предоставляются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монопрофильным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муниципальным образованиям на реализацию мероприятия муниципальной программы по поддержке субъектов малого и среднего предпринимательства, осуществляющих деятельность в сфере производства товаров (работ, услуг), в том числе: 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lastRenderedPageBreak/>
        <w:t>а) 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услуг);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>б) субсидирование части затрат субъектов малого и среднего предпринимательства, связанных с уплатой лизинговых платежей и (или) первого взноса (аванса) по договору 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Субсидии предоставляются субъектам малого и среднего предпринимательства, осуществляющих деятельность в сфере производства товаров (работ, услуг), за исключением основных видов деятельности, включенных в разделы </w:t>
      </w:r>
      <w:r w:rsidRPr="007563E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563E9">
        <w:rPr>
          <w:rFonts w:ascii="Times New Roman" w:hAnsi="Times New Roman" w:cs="Times New Roman"/>
          <w:sz w:val="28"/>
          <w:szCs w:val="28"/>
        </w:rPr>
        <w:t xml:space="preserve"> (за исключением кода 45), </w:t>
      </w:r>
      <w:r w:rsidRPr="007563E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3E9">
        <w:rPr>
          <w:rFonts w:ascii="Times New Roman" w:hAnsi="Times New Roman" w:cs="Times New Roman"/>
          <w:sz w:val="28"/>
          <w:szCs w:val="28"/>
        </w:rPr>
        <w:t>,</w:t>
      </w:r>
      <w:r w:rsidRPr="007563E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563E9">
        <w:rPr>
          <w:rFonts w:ascii="Times New Roman" w:hAnsi="Times New Roman" w:cs="Times New Roman"/>
          <w:sz w:val="28"/>
          <w:szCs w:val="28"/>
        </w:rPr>
        <w:t>,</w:t>
      </w:r>
      <w:r w:rsidRPr="007563E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3E9">
        <w:rPr>
          <w:rFonts w:ascii="Times New Roman" w:hAnsi="Times New Roman" w:cs="Times New Roman"/>
          <w:sz w:val="28"/>
          <w:szCs w:val="28"/>
        </w:rPr>
        <w:t xml:space="preserve"> (за исключением кодов 71 и 75), </w:t>
      </w:r>
      <w:r w:rsidRPr="007563E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63E9">
        <w:rPr>
          <w:rFonts w:ascii="Times New Roman" w:hAnsi="Times New Roman" w:cs="Times New Roman"/>
          <w:sz w:val="28"/>
          <w:szCs w:val="28"/>
        </w:rPr>
        <w:t>,</w:t>
      </w:r>
      <w:r w:rsidRPr="007563E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563E9">
        <w:rPr>
          <w:rFonts w:ascii="Times New Roman" w:hAnsi="Times New Roman" w:cs="Times New Roman"/>
          <w:sz w:val="28"/>
          <w:szCs w:val="28"/>
        </w:rPr>
        <w:t>,</w:t>
      </w:r>
      <w:r w:rsidRPr="007563E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563E9">
        <w:rPr>
          <w:rFonts w:ascii="Times New Roman" w:hAnsi="Times New Roman" w:cs="Times New Roman"/>
          <w:sz w:val="28"/>
          <w:szCs w:val="28"/>
        </w:rPr>
        <w:t xml:space="preserve"> (за исключением кодов 95 и 96), </w:t>
      </w:r>
      <w:r w:rsidRPr="007563E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563E9">
        <w:rPr>
          <w:rFonts w:ascii="Times New Roman" w:hAnsi="Times New Roman" w:cs="Times New Roman"/>
          <w:sz w:val="28"/>
          <w:szCs w:val="28"/>
        </w:rPr>
        <w:t>,</w:t>
      </w:r>
      <w:r w:rsidRPr="007563E9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563E9"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деятельности (ОК 029-2014 (КДЕС Ред.2), утвержденного приказом Федерального агентства по техническому регулированию и метрологии от 31.01.2014 № 14-ст (с последующими изменениями),  при этом поддержка не может оказываться субъектам малого и среднего предпринимательства,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5. Предоставление субсидий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монопрофильным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муниципальным образованиям осуществляется при соблюдении следующих условий: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а) наличие муниципальной программы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направленной на развитие малого и среднего предпринимательства;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б) обеспечение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расходов при реализации муниципальной программы развития малого и среднего предпринимательства за счет средств местного бюджета в размере не менее 2 процентов от общей суммы субсидии;</w:t>
      </w:r>
    </w:p>
    <w:p w:rsidR="007563E9" w:rsidRPr="007563E9" w:rsidRDefault="007563E9" w:rsidP="007563E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в) наличие в бюджете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Пензенской области на соответствующий финансовый год и плановый период бюджетных ассигнований на финансовое обеспечение программных </w:t>
      </w:r>
      <w:r w:rsidRPr="007563E9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муниципальной программы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направленных на развитие и поддержку малого и среднего предпринимательства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Монопрофильное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муниципальное образование, претендующее на получение субсидии, предоставляет в Министерство комплект документов (далее - заявка), включающий в себя:</w:t>
      </w:r>
    </w:p>
    <w:p w:rsidR="007563E9" w:rsidRPr="007563E9" w:rsidRDefault="007563E9" w:rsidP="007563E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а) заявление главы администрации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предоставление субсидии (приложение № 1 к настоящему Порядку).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б) паспорт мероприятия, осуществляемого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монопрофильным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в рамках оказания государственной поддержки малого и среднего предпринимательства (приложение № 2 к настоящему Порядку);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>в) выписку из муниципальной программы, содержащую мероприятия, направленные на развитие малого и среднего предпринимательства, указанные в пункте 4 настоящего Порядка;</w:t>
      </w:r>
    </w:p>
    <w:p w:rsidR="007563E9" w:rsidRPr="007563E9" w:rsidRDefault="007563E9" w:rsidP="007563E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г) выписку из акта об утверждении бюджета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Пензенской области на соответствующий финансовый год и плановый период бюджетных ассигнований на финансовое обеспечение программных мероприятий муниципальной программы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направленных на развитие и поддержку малого и среднего предпринимательства;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д) обязательство администрации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Пензенской области обеспечить соответствие значений показателей результативности использования субсидии, установленных соглашением между Министерством и администрацией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(в произвольной форме);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е) письмо об определении уполномоченного лица администрации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для взаимодействия с Министерством (в произвольной форме).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7. Заявка должна быть прошита, пронумерована, заверена на оборотной стороне последнего листа печатью и подписью главы администрации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образована с указанием общего количества листов. 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lastRenderedPageBreak/>
        <w:t xml:space="preserve">Исправления допускаются, если они заверены печатью и подписью главы администрации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В случае отсутствия главы администрации, при подаче документов, заявка может  быть подписана  иным лицом, на которого возложено исполнение обязанностей главы администрации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В этом случае к заявке прикладывается документ, подтверждающий данный факт.     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8. Заявка регистрируется в порядке поступления в журнале регистрации документов на получение субсидии, </w:t>
      </w:r>
      <w:r w:rsidRPr="007563E9">
        <w:rPr>
          <w:rFonts w:ascii="Times New Roman" w:hAnsi="Times New Roman" w:cs="Times New Roman"/>
          <w:bCs/>
          <w:sz w:val="28"/>
          <w:szCs w:val="28"/>
        </w:rPr>
        <w:t>который должен быть пронумерован, прошнурован и скреплен печатью главного распорядителя в течении одного рабочего дня</w:t>
      </w:r>
      <w:r w:rsidRPr="007563E9">
        <w:rPr>
          <w:rFonts w:ascii="Times New Roman" w:hAnsi="Times New Roman" w:cs="Times New Roman"/>
          <w:sz w:val="28"/>
          <w:szCs w:val="28"/>
        </w:rPr>
        <w:t>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9. Министерство в течение 10 рабочих дней с даты регистрации заявки проверяет комплектность документов, приложенных к заявке, указанных в пункте 6 настоящего Порядка, на соответствие либо несоответствие требованиям, установленным в пункте 7 настоящего Порядка и принимает решение о предоставлении или об отказе в предоставлении субсидии (с указанием причин), о чем уведомляет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монопрофильное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муниципальное образование в письменной форме в течение 5 рабочих дней с момента принятия соответствующего решения. 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10. В предоставлении субсидий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монопрофильным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муниципальным образованиям отказывается в следующих случаях: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>а) несоответствие условиям, установленным пунктом 5 настоящего Порядка;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>б) не предоставление или предоставление неполного комплекта документов, установленных пунктом 6 настоящего Порядка;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в) недостоверность сведений, указанных в документах, установленных пунктом 6 настоящего Порядка; 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11. Нормативные правовые акты, регламентирующие процедуру и условия предоставления субсидий бюджетам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муниципальных образований, а также информация о начале и сроках приема заявок размещаются на официальном сайте Министерства.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12. Распределение субсидий бюджетам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муниципальных образований осуществляется пропорционально  количеству субъектов малого и среднего предпринимательства, осуществляющих </w:t>
      </w:r>
      <w:r w:rsidRPr="007563E9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на территории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сфере производства товаров (работ, услуг), указанных в пункте 4 настоящего Порядка, по состоянию на 1 января года получения субсидии по следующей формуле: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63E9" w:rsidRPr="007563E9" w:rsidRDefault="007563E9" w:rsidP="007563E9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С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i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C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Ki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, 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где</m:t>
          </m:r>
        </m:oMath>
      </m:oMathPara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563E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7563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63E9">
        <w:rPr>
          <w:rFonts w:ascii="Times New Roman" w:hAnsi="Times New Roman" w:cs="Times New Roman"/>
          <w:sz w:val="28"/>
          <w:szCs w:val="28"/>
        </w:rPr>
        <w:t xml:space="preserve">– размер субсидии </w:t>
      </w:r>
      <w:proofErr w:type="spellStart"/>
      <w:r w:rsidRPr="007563E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7563E9">
        <w:rPr>
          <w:rFonts w:ascii="Times New Roman" w:hAnsi="Times New Roman" w:cs="Times New Roman"/>
          <w:i/>
          <w:sz w:val="28"/>
          <w:szCs w:val="28"/>
        </w:rPr>
        <w:t>-</w:t>
      </w:r>
      <w:r w:rsidRPr="00756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монопрофильному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на реализацию муниципальных программ развития малого и среднего предпринимательства;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С – общий объем субсидий, подлежащих распределению между бюджетами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муниципальных образований для реализации муниципальных программ развития малого и среднего предпринимательства;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3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63E9">
        <w:rPr>
          <w:rFonts w:ascii="Times New Roman" w:hAnsi="Times New Roman" w:cs="Times New Roman"/>
          <w:sz w:val="28"/>
          <w:szCs w:val="28"/>
        </w:rPr>
        <w:t>–</w:t>
      </w:r>
      <w:r w:rsidRPr="007563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63E9">
        <w:rPr>
          <w:rFonts w:ascii="Times New Roman" w:hAnsi="Times New Roman" w:cs="Times New Roman"/>
          <w:sz w:val="28"/>
          <w:szCs w:val="28"/>
        </w:rPr>
        <w:t xml:space="preserve">общее количество субъектов малого и среднего предпринимательства, осуществляющих деятельность на территории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муниципальных образований в сфере производства товаров (работ, услуг);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3E9">
        <w:rPr>
          <w:rFonts w:ascii="Times New Roman" w:hAnsi="Times New Roman" w:cs="Times New Roman"/>
          <w:sz w:val="28"/>
          <w:szCs w:val="28"/>
        </w:rPr>
        <w:t>K</w:t>
      </w:r>
      <w:r w:rsidRPr="007563E9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– количество субъектов малого и среднего предпринимательства, осуществляющих деятельность на территории </w:t>
      </w:r>
      <w:proofErr w:type="spellStart"/>
      <w:r w:rsidRPr="007563E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7563E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сфере производства товаров (работ, услуг).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определятся в соответствии с Единым реестром субъектов малого и среднего предпринимательства, указанным в статье 4.1 Федерального закона от 24.07. 2007 № 209-ФЗ «О развитии малого и среднего предпринимательства в Российской Федерации» (с последующими изменениями).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Распределение субсидий бюджетам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муниципальных образований утверждается нормативным правовым актом Правительства Пензенской области.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13. Результативность использования  субсидии, оценивается Министерством на основании фактического достижения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монопрофильным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следующих показателей результативности использования субсидии, которые являются обязательными для выполнения: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lastRenderedPageBreak/>
        <w:t>-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получивших государственную поддержку;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- прирост среднесписочной численности работников (без внешних совместителей), занятых у субъектов малого и среднего предпринимательства, получивших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поддерку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>;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>- увеличение оборота субъектов малого и среднего предпринимательства, получивших государственную поддержку, в постоянных ценах по отношению к показателю 2014 года;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>- 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14. Субсидии предоставляются на основании соглашения о предоставлении субсидий бюджетам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муниципальных образований для реализации муниципальных программ развития малого и среднего предпринимательства (далее - Соглашение), заключаемого между Министерством и администрациями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муниципальных образований Пензенской области.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Соглашение заключается в срок не позднее 15 рабочих дней с даты получения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монопрофильным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</w:t>
      </w:r>
      <w:proofErr w:type="gramStart"/>
      <w:r w:rsidRPr="007563E9">
        <w:rPr>
          <w:rFonts w:ascii="Times New Roman" w:hAnsi="Times New Roman" w:cs="Times New Roman"/>
          <w:sz w:val="28"/>
          <w:szCs w:val="28"/>
        </w:rPr>
        <w:t>уведомления  о</w:t>
      </w:r>
      <w:proofErr w:type="gramEnd"/>
      <w:r w:rsidRPr="007563E9">
        <w:rPr>
          <w:rFonts w:ascii="Times New Roman" w:hAnsi="Times New Roman" w:cs="Times New Roman"/>
          <w:sz w:val="28"/>
          <w:szCs w:val="28"/>
        </w:rPr>
        <w:t xml:space="preserve"> предоставлении субсидии.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>Форма соглашения утверждается приказом Министерства.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>Соглашение предусматривает следующие положения: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а) размер предоставляемой субсидии, ее целевое значение, порядок и сроки ее перечисления в бюджет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б) значения целевых показателей результативности использования субсидии; 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в) обязательства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согласовании с Министерством в случаях внесения изменений в решение о бюджете муниципального образования, а также в муниципальную программу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софинансируемую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за счет средств бюджета Пензенской области и средств федерального бюджета, которые влекут изменения объемов финансирования и изменение состава мероприятий, на которые предоставляются субсидии;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lastRenderedPageBreak/>
        <w:t xml:space="preserve">г) сроки и порядок предоставления отчетности об осуществлении расходов бюджета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источником финансового обеспечения которых является субсидия, а также о достижении значений целевых показателей результативности использования субсидии;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>д) порядок осуществления контроля за исполнением условий соглашения, а также основания и порядок приостановления предоставления субсидий.</w:t>
      </w:r>
    </w:p>
    <w:p w:rsidR="007563E9" w:rsidRPr="007563E9" w:rsidRDefault="007563E9" w:rsidP="007563E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15. Субсидии перечисляются на счета бюджетов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муниципальных образований, открытые в отделах территориального органа Федерального казначейства по Пензенской области в течении 10 рабочих дней с момента заключения Соглашения.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 xml:space="preserve">16. Субсидии носят целевой характер. В случае нарушения условий предоставления субсидии, а также не использованные остатки субсидий </w:t>
      </w:r>
      <w:proofErr w:type="spellStart"/>
      <w:r w:rsidRPr="007563E9">
        <w:rPr>
          <w:rFonts w:ascii="Times New Roman" w:hAnsi="Times New Roman" w:cs="Times New Roman"/>
          <w:sz w:val="28"/>
          <w:szCs w:val="28"/>
        </w:rPr>
        <w:t>монопрофильным</w:t>
      </w:r>
      <w:proofErr w:type="spellEnd"/>
      <w:r w:rsidRPr="007563E9">
        <w:rPr>
          <w:rFonts w:ascii="Times New Roman" w:hAnsi="Times New Roman" w:cs="Times New Roman"/>
          <w:sz w:val="28"/>
          <w:szCs w:val="28"/>
        </w:rPr>
        <w:t xml:space="preserve"> муниципальным образованием, подлежат возврату в соответствие с действующим законодательством.</w:t>
      </w:r>
    </w:p>
    <w:p w:rsidR="007563E9" w:rsidRPr="007563E9" w:rsidRDefault="007563E9" w:rsidP="007563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3E9">
        <w:rPr>
          <w:rFonts w:ascii="Times New Roman" w:hAnsi="Times New Roman" w:cs="Times New Roman"/>
          <w:sz w:val="28"/>
          <w:szCs w:val="28"/>
        </w:rPr>
        <w:t>16. Контроль за целевым использованием субсидий осуществляется в соответствии с действующим законодательством.</w:t>
      </w:r>
    </w:p>
    <w:p w:rsidR="007563E9" w:rsidRDefault="007563E9" w:rsidP="00756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3E9" w:rsidRPr="007563E9" w:rsidRDefault="007563E9" w:rsidP="00756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3E9" w:rsidRPr="007563E9" w:rsidRDefault="007563E9" w:rsidP="007563E9">
      <w:pPr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Приложение № 1 к Порядку предоставления</w:t>
      </w:r>
    </w:p>
    <w:p w:rsidR="007563E9" w:rsidRPr="007563E9" w:rsidRDefault="007563E9" w:rsidP="007563E9">
      <w:pPr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 xml:space="preserve">субсидий бюджетам </w:t>
      </w:r>
      <w:proofErr w:type="spellStart"/>
      <w:r w:rsidRPr="007563E9">
        <w:rPr>
          <w:rFonts w:ascii="Times New Roman" w:hAnsi="Times New Roman" w:cs="Times New Roman"/>
          <w:sz w:val="24"/>
          <w:szCs w:val="24"/>
        </w:rPr>
        <w:t>монопрофильных</w:t>
      </w:r>
      <w:proofErr w:type="spellEnd"/>
      <w:r w:rsidRPr="007563E9">
        <w:rPr>
          <w:rFonts w:ascii="Times New Roman" w:hAnsi="Times New Roman" w:cs="Times New Roman"/>
          <w:sz w:val="24"/>
          <w:szCs w:val="24"/>
        </w:rPr>
        <w:t xml:space="preserve"> муниципальных</w:t>
      </w:r>
    </w:p>
    <w:p w:rsidR="007563E9" w:rsidRPr="007563E9" w:rsidRDefault="007563E9" w:rsidP="007563E9">
      <w:pPr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образований Пензенской области для реализации</w:t>
      </w:r>
    </w:p>
    <w:p w:rsidR="007563E9" w:rsidRPr="007563E9" w:rsidRDefault="007563E9" w:rsidP="007563E9">
      <w:pPr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муниципальных программ развития малого и среднего</w:t>
      </w:r>
    </w:p>
    <w:p w:rsidR="007563E9" w:rsidRPr="007563E9" w:rsidRDefault="007563E9" w:rsidP="007563E9">
      <w:pPr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 xml:space="preserve">предпринимательства </w:t>
      </w:r>
    </w:p>
    <w:p w:rsidR="007563E9" w:rsidRPr="007563E9" w:rsidRDefault="007563E9" w:rsidP="007563E9">
      <w:pPr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7563E9" w:rsidRPr="007563E9" w:rsidRDefault="007563E9" w:rsidP="007563E9">
      <w:pPr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E9">
        <w:rPr>
          <w:rFonts w:ascii="Times New Roman" w:hAnsi="Times New Roman" w:cs="Times New Roman"/>
          <w:b/>
          <w:sz w:val="24"/>
          <w:szCs w:val="24"/>
        </w:rPr>
        <w:t>Заявление на предоставление субсидии</w:t>
      </w:r>
    </w:p>
    <w:p w:rsidR="007563E9" w:rsidRPr="007563E9" w:rsidRDefault="007563E9" w:rsidP="007563E9">
      <w:pPr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563E9" w:rsidRPr="007563E9" w:rsidRDefault="007563E9" w:rsidP="007563E9">
      <w:pPr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spellStart"/>
      <w:r w:rsidRPr="007563E9">
        <w:rPr>
          <w:rFonts w:ascii="Times New Roman" w:hAnsi="Times New Roman" w:cs="Times New Roman"/>
          <w:sz w:val="24"/>
          <w:szCs w:val="24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Пензенской области</w:t>
      </w:r>
    </w:p>
    <w:p w:rsidR="007563E9" w:rsidRPr="007563E9" w:rsidRDefault="007563E9" w:rsidP="007563E9">
      <w:pPr>
        <w:ind w:firstLine="539"/>
        <w:rPr>
          <w:rFonts w:ascii="Times New Roman" w:hAnsi="Times New Roman" w:cs="Times New Roman"/>
          <w:sz w:val="24"/>
          <w:szCs w:val="24"/>
        </w:rPr>
      </w:pPr>
    </w:p>
    <w:p w:rsidR="007563E9" w:rsidRPr="007563E9" w:rsidRDefault="007563E9" w:rsidP="007563E9">
      <w:pPr>
        <w:jc w:val="both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 xml:space="preserve">направляет настоящее заявление для предоставления субсидий бюджетам </w:t>
      </w:r>
      <w:proofErr w:type="spellStart"/>
      <w:r w:rsidRPr="007563E9">
        <w:rPr>
          <w:rFonts w:ascii="Times New Roman" w:hAnsi="Times New Roman" w:cs="Times New Roman"/>
          <w:sz w:val="24"/>
          <w:szCs w:val="24"/>
        </w:rPr>
        <w:t>монопрофильных</w:t>
      </w:r>
      <w:proofErr w:type="spellEnd"/>
      <w:r w:rsidRPr="007563E9">
        <w:rPr>
          <w:rFonts w:ascii="Times New Roman" w:hAnsi="Times New Roman" w:cs="Times New Roman"/>
          <w:sz w:val="24"/>
          <w:szCs w:val="24"/>
        </w:rPr>
        <w:t xml:space="preserve"> муниципальных образований Пензенской области для реализации муниципальных программ  развития малого и среднего предпринимательства</w:t>
      </w:r>
    </w:p>
    <w:p w:rsidR="007563E9" w:rsidRPr="007563E9" w:rsidRDefault="007563E9" w:rsidP="007563E9">
      <w:pPr>
        <w:jc w:val="both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</w:t>
      </w:r>
    </w:p>
    <w:p w:rsidR="007563E9" w:rsidRPr="007563E9" w:rsidRDefault="007563E9" w:rsidP="00756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Наименование муниципальной программы  развития малого и среднего предпринимательства</w:t>
      </w:r>
    </w:p>
    <w:p w:rsidR="007563E9" w:rsidRPr="007563E9" w:rsidRDefault="007563E9" w:rsidP="007563E9">
      <w:pPr>
        <w:jc w:val="both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563E9" w:rsidRPr="007563E9" w:rsidRDefault="007563E9" w:rsidP="00756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 xml:space="preserve">Юридический адрес </w:t>
      </w:r>
      <w:proofErr w:type="spellStart"/>
      <w:r w:rsidRPr="007563E9">
        <w:rPr>
          <w:rFonts w:ascii="Times New Roman" w:hAnsi="Times New Roman" w:cs="Times New Roman"/>
          <w:sz w:val="24"/>
          <w:szCs w:val="24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Пензенской области</w:t>
      </w:r>
    </w:p>
    <w:p w:rsidR="007563E9" w:rsidRPr="007563E9" w:rsidRDefault="007563E9" w:rsidP="007563E9">
      <w:pPr>
        <w:jc w:val="both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563E9" w:rsidRPr="007563E9" w:rsidRDefault="007563E9" w:rsidP="00756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Ответственный за реализацию муниципальной программы развития малого и среднего предпринимательства и его контактные данные</w:t>
      </w:r>
    </w:p>
    <w:p w:rsidR="007563E9" w:rsidRPr="007563E9" w:rsidRDefault="007563E9" w:rsidP="007563E9">
      <w:pPr>
        <w:jc w:val="both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563E9" w:rsidRPr="007563E9" w:rsidRDefault="007563E9" w:rsidP="00756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 xml:space="preserve">Предполагаемая сумма расходов бюджета </w:t>
      </w:r>
      <w:proofErr w:type="spellStart"/>
      <w:r w:rsidRPr="007563E9">
        <w:rPr>
          <w:rFonts w:ascii="Times New Roman" w:hAnsi="Times New Roman" w:cs="Times New Roman"/>
          <w:sz w:val="24"/>
          <w:szCs w:val="24"/>
        </w:rPr>
        <w:t>монопрофильного</w:t>
      </w:r>
      <w:proofErr w:type="spellEnd"/>
      <w:r w:rsidRPr="007563E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Пензенской области (тыс. руб.)</w:t>
      </w:r>
    </w:p>
    <w:p w:rsidR="007563E9" w:rsidRPr="007563E9" w:rsidRDefault="007563E9" w:rsidP="007563E9">
      <w:pPr>
        <w:jc w:val="both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563E9" w:rsidRPr="007563E9" w:rsidRDefault="007563E9" w:rsidP="00756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Запрашиваемый размер субсидии за счет средств областного и федерального бюджета (тыс. руб.)</w:t>
      </w:r>
    </w:p>
    <w:p w:rsidR="007563E9" w:rsidRPr="007563E9" w:rsidRDefault="007563E9" w:rsidP="007563E9">
      <w:pPr>
        <w:rPr>
          <w:rFonts w:ascii="Times New Roman" w:hAnsi="Times New Roman" w:cs="Times New Roman"/>
          <w:sz w:val="24"/>
          <w:szCs w:val="24"/>
        </w:rPr>
      </w:pPr>
    </w:p>
    <w:p w:rsidR="007563E9" w:rsidRPr="007563E9" w:rsidRDefault="007563E9" w:rsidP="007563E9">
      <w:pPr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7563E9" w:rsidRPr="007563E9" w:rsidRDefault="007563E9" w:rsidP="007563E9">
      <w:pPr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С условиями отбора ознакомлен и согласен.</w:t>
      </w:r>
    </w:p>
    <w:p w:rsidR="007563E9" w:rsidRPr="007563E9" w:rsidRDefault="007563E9" w:rsidP="007563E9">
      <w:pPr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Достоверность представленной в составе настоящего заявления информации гарантирую</w:t>
      </w:r>
    </w:p>
    <w:p w:rsidR="007563E9" w:rsidRPr="007563E9" w:rsidRDefault="007563E9" w:rsidP="007563E9">
      <w:pPr>
        <w:rPr>
          <w:rFonts w:ascii="Times New Roman" w:hAnsi="Times New Roman" w:cs="Times New Roman"/>
          <w:sz w:val="24"/>
          <w:szCs w:val="24"/>
        </w:rPr>
      </w:pPr>
    </w:p>
    <w:p w:rsidR="007563E9" w:rsidRPr="007563E9" w:rsidRDefault="007563E9" w:rsidP="007563E9">
      <w:pPr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7563E9" w:rsidRPr="007563E9" w:rsidRDefault="007563E9" w:rsidP="007563E9">
      <w:pPr>
        <w:rPr>
          <w:rFonts w:ascii="Times New Roman" w:hAnsi="Times New Roman" w:cs="Times New Roman"/>
          <w:sz w:val="24"/>
          <w:szCs w:val="24"/>
        </w:rPr>
      </w:pPr>
    </w:p>
    <w:p w:rsidR="007563E9" w:rsidRPr="007563E9" w:rsidRDefault="007563E9" w:rsidP="007563E9">
      <w:pPr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7563E9" w:rsidRPr="007563E9" w:rsidRDefault="007563E9" w:rsidP="007563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63E9" w:rsidRPr="007563E9" w:rsidRDefault="007563E9" w:rsidP="007563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63E9" w:rsidRPr="007563E9" w:rsidRDefault="007563E9" w:rsidP="007563E9">
      <w:pPr>
        <w:jc w:val="right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Приложение № 2 к Порядку предоставления</w:t>
      </w:r>
    </w:p>
    <w:p w:rsidR="007563E9" w:rsidRPr="007563E9" w:rsidRDefault="007563E9" w:rsidP="007563E9">
      <w:pPr>
        <w:jc w:val="right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 xml:space="preserve">субсидий бюджетам </w:t>
      </w:r>
      <w:proofErr w:type="spellStart"/>
      <w:r w:rsidRPr="007563E9">
        <w:rPr>
          <w:rFonts w:ascii="Times New Roman" w:hAnsi="Times New Roman" w:cs="Times New Roman"/>
          <w:sz w:val="24"/>
          <w:szCs w:val="24"/>
        </w:rPr>
        <w:t>монопрофильных</w:t>
      </w:r>
      <w:proofErr w:type="spellEnd"/>
      <w:r w:rsidRPr="007563E9">
        <w:rPr>
          <w:rFonts w:ascii="Times New Roman" w:hAnsi="Times New Roman" w:cs="Times New Roman"/>
          <w:sz w:val="24"/>
          <w:szCs w:val="24"/>
        </w:rPr>
        <w:t xml:space="preserve"> муниципальных</w:t>
      </w:r>
    </w:p>
    <w:p w:rsidR="007563E9" w:rsidRPr="007563E9" w:rsidRDefault="007563E9" w:rsidP="007563E9">
      <w:pPr>
        <w:jc w:val="right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образований Пензенской области для реализации</w:t>
      </w:r>
    </w:p>
    <w:p w:rsidR="007563E9" w:rsidRPr="007563E9" w:rsidRDefault="007563E9" w:rsidP="007563E9">
      <w:pPr>
        <w:jc w:val="right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муниципальных программ развития малого и среднего</w:t>
      </w:r>
    </w:p>
    <w:p w:rsidR="007563E9" w:rsidRPr="007563E9" w:rsidRDefault="007563E9" w:rsidP="007563E9">
      <w:pPr>
        <w:jc w:val="right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предпринимательства</w:t>
      </w:r>
    </w:p>
    <w:p w:rsidR="007563E9" w:rsidRPr="007563E9" w:rsidRDefault="007563E9" w:rsidP="007563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63E9" w:rsidRPr="007563E9" w:rsidRDefault="007563E9" w:rsidP="007563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мероприятия, осуществляемого </w:t>
      </w:r>
      <w:proofErr w:type="spellStart"/>
      <w:r w:rsidRPr="007563E9">
        <w:rPr>
          <w:rFonts w:ascii="Times New Roman" w:hAnsi="Times New Roman" w:cs="Times New Roman"/>
          <w:b/>
          <w:sz w:val="24"/>
          <w:szCs w:val="24"/>
        </w:rPr>
        <w:t>монопрофильным</w:t>
      </w:r>
      <w:proofErr w:type="spellEnd"/>
      <w:r w:rsidRPr="007563E9">
        <w:rPr>
          <w:rFonts w:ascii="Times New Roman" w:hAnsi="Times New Roman" w:cs="Times New Roman"/>
          <w:b/>
          <w:sz w:val="24"/>
          <w:szCs w:val="24"/>
        </w:rPr>
        <w:t xml:space="preserve"> муниципальным образованием в рамках оказания государственной поддержки малого и среднего предпринимательства </w:t>
      </w:r>
    </w:p>
    <w:p w:rsidR="007563E9" w:rsidRPr="007563E9" w:rsidRDefault="007563E9" w:rsidP="007563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2310"/>
        <w:gridCol w:w="2084"/>
        <w:gridCol w:w="284"/>
      </w:tblGrid>
      <w:tr w:rsidR="007563E9" w:rsidRPr="007563E9" w:rsidTr="00F170CB">
        <w:tc>
          <w:tcPr>
            <w:tcW w:w="5495" w:type="dxa"/>
            <w:gridSpan w:val="2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Название мероприятия в соответствии с муниципальной программой, содержащей мероприятия, направленные на развитие малого и среднего предпринимательства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5495" w:type="dxa"/>
            <w:gridSpan w:val="2"/>
            <w:vMerge w:val="restart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563E9">
              <w:rPr>
                <w:sz w:val="24"/>
                <w:szCs w:val="24"/>
              </w:rPr>
              <w:t>монопрофильного</w:t>
            </w:r>
            <w:proofErr w:type="spellEnd"/>
            <w:r w:rsidRPr="007563E9">
              <w:rPr>
                <w:sz w:val="24"/>
                <w:szCs w:val="24"/>
              </w:rPr>
              <w:t xml:space="preserve"> муниципального образования Пензенской области 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 xml:space="preserve">Контактное лицо Администрации </w:t>
            </w:r>
            <w:proofErr w:type="spellStart"/>
            <w:r w:rsidRPr="007563E9">
              <w:rPr>
                <w:sz w:val="24"/>
                <w:szCs w:val="24"/>
              </w:rPr>
              <w:t>монопрофильного</w:t>
            </w:r>
            <w:proofErr w:type="spellEnd"/>
            <w:r w:rsidRPr="007563E9">
              <w:rPr>
                <w:sz w:val="24"/>
                <w:szCs w:val="24"/>
              </w:rPr>
              <w:t xml:space="preserve"> муниципального образования Пензенской области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5495" w:type="dxa"/>
            <w:gridSpan w:val="2"/>
            <w:vMerge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5495" w:type="dxa"/>
            <w:gridSpan w:val="2"/>
            <w:vMerge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Ф.И.О.</w:t>
            </w:r>
          </w:p>
        </w:tc>
        <w:tc>
          <w:tcPr>
            <w:tcW w:w="2084" w:type="dxa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5495" w:type="dxa"/>
            <w:gridSpan w:val="2"/>
            <w:vMerge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Адрес</w:t>
            </w:r>
          </w:p>
        </w:tc>
        <w:tc>
          <w:tcPr>
            <w:tcW w:w="2084" w:type="dxa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5495" w:type="dxa"/>
            <w:gridSpan w:val="2"/>
            <w:vMerge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Телефон</w:t>
            </w:r>
          </w:p>
        </w:tc>
        <w:tc>
          <w:tcPr>
            <w:tcW w:w="2084" w:type="dxa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5495" w:type="dxa"/>
            <w:gridSpan w:val="2"/>
            <w:vMerge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084" w:type="dxa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5495" w:type="dxa"/>
            <w:gridSpan w:val="2"/>
            <w:vMerge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Официальный сайт</w:t>
            </w:r>
          </w:p>
        </w:tc>
        <w:tc>
          <w:tcPr>
            <w:tcW w:w="2084" w:type="dxa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9889" w:type="dxa"/>
            <w:gridSpan w:val="4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Годовой бюджет (тыс. руб.) на 2017 год всего в том числе: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2802" w:type="dxa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 xml:space="preserve">Планируемый размер субсидии областного бюджета </w:t>
            </w:r>
          </w:p>
        </w:tc>
        <w:tc>
          <w:tcPr>
            <w:tcW w:w="2693" w:type="dxa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Планируемый размер субсидии федерального бюджета</w:t>
            </w:r>
          </w:p>
        </w:tc>
        <w:tc>
          <w:tcPr>
            <w:tcW w:w="2084" w:type="dxa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2802" w:type="dxa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Основные виды расходов</w:t>
            </w:r>
          </w:p>
        </w:tc>
        <w:tc>
          <w:tcPr>
            <w:tcW w:w="5003" w:type="dxa"/>
            <w:gridSpan w:val="2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Сумма (тыс. руб.)</w:t>
            </w:r>
          </w:p>
        </w:tc>
        <w:tc>
          <w:tcPr>
            <w:tcW w:w="2084" w:type="dxa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Получатель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2802" w:type="dxa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03" w:type="dxa"/>
            <w:gridSpan w:val="2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9889" w:type="dxa"/>
            <w:gridSpan w:val="4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 xml:space="preserve">Планируемые целевые показатели реализации мероприятия на 2017 год 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5495" w:type="dxa"/>
            <w:gridSpan w:val="2"/>
            <w:vAlign w:val="center"/>
          </w:tcPr>
          <w:p w:rsidR="007563E9" w:rsidRPr="007563E9" w:rsidRDefault="007563E9" w:rsidP="00F170CB">
            <w:pPr>
              <w:jc w:val="center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Индикатор</w:t>
            </w:r>
          </w:p>
        </w:tc>
        <w:tc>
          <w:tcPr>
            <w:tcW w:w="2310" w:type="dxa"/>
            <w:vAlign w:val="center"/>
          </w:tcPr>
          <w:p w:rsidR="007563E9" w:rsidRPr="007563E9" w:rsidRDefault="007563E9" w:rsidP="00F170CB">
            <w:pPr>
              <w:jc w:val="center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Целевое значение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7563E9" w:rsidRPr="007563E9" w:rsidRDefault="007563E9" w:rsidP="00F170CB">
            <w:pPr>
              <w:jc w:val="center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Название организации, предоставляющей данные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center"/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5495" w:type="dxa"/>
            <w:gridSpan w:val="2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поддержку,  %</w:t>
            </w:r>
          </w:p>
        </w:tc>
        <w:tc>
          <w:tcPr>
            <w:tcW w:w="2310" w:type="dxa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5495" w:type="dxa"/>
            <w:gridSpan w:val="2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Увеличение оборота субъектов малого и среднего предпринимательства, получивших государственную поддержку, в постоянных ценах по отношению к показателю 2014 года %</w:t>
            </w:r>
          </w:p>
        </w:tc>
        <w:tc>
          <w:tcPr>
            <w:tcW w:w="2310" w:type="dxa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5495" w:type="dxa"/>
            <w:gridSpan w:val="2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поддержку,  %</w:t>
            </w:r>
          </w:p>
        </w:tc>
        <w:tc>
          <w:tcPr>
            <w:tcW w:w="2310" w:type="dxa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</w:tr>
      <w:tr w:rsidR="007563E9" w:rsidRPr="007563E9" w:rsidTr="00F170CB">
        <w:tc>
          <w:tcPr>
            <w:tcW w:w="5495" w:type="dxa"/>
            <w:gridSpan w:val="2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  <w:r w:rsidRPr="007563E9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 государственную поддержку, ед.</w:t>
            </w:r>
          </w:p>
        </w:tc>
        <w:tc>
          <w:tcPr>
            <w:tcW w:w="2310" w:type="dxa"/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right w:val="single" w:sz="4" w:space="0" w:color="auto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63E9" w:rsidRPr="007563E9" w:rsidRDefault="007563E9" w:rsidP="00F170CB">
            <w:pPr>
              <w:jc w:val="both"/>
              <w:rPr>
                <w:sz w:val="24"/>
                <w:szCs w:val="24"/>
              </w:rPr>
            </w:pPr>
          </w:p>
        </w:tc>
      </w:tr>
    </w:tbl>
    <w:p w:rsidR="007563E9" w:rsidRPr="007563E9" w:rsidRDefault="007563E9" w:rsidP="007563E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563E9" w:rsidRPr="007563E9" w:rsidRDefault="007563E9" w:rsidP="007563E9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lastRenderedPageBreak/>
        <w:t>Глава администрации</w:t>
      </w:r>
    </w:p>
    <w:p w:rsidR="007563E9" w:rsidRPr="007563E9" w:rsidRDefault="007563E9" w:rsidP="007563E9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63E9" w:rsidRPr="007563E9" w:rsidRDefault="007563E9" w:rsidP="007563E9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63E9">
        <w:rPr>
          <w:rFonts w:ascii="Times New Roman" w:hAnsi="Times New Roman" w:cs="Times New Roman"/>
          <w:sz w:val="24"/>
          <w:szCs w:val="24"/>
        </w:rPr>
        <w:t>М.П.</w:t>
      </w:r>
    </w:p>
    <w:p w:rsidR="007563E9" w:rsidRPr="007563E9" w:rsidRDefault="007563E9" w:rsidP="007563E9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63E9" w:rsidRPr="007563E9" w:rsidRDefault="007563E9" w:rsidP="007563E9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63E9" w:rsidRPr="007563E9" w:rsidRDefault="007563E9" w:rsidP="007563E9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63E9" w:rsidRPr="007563E9" w:rsidRDefault="007563E9" w:rsidP="007563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7563E9" w:rsidRPr="007563E9" w:rsidSect="008E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38"/>
    <w:rsid w:val="00587F70"/>
    <w:rsid w:val="006B0FED"/>
    <w:rsid w:val="007563E9"/>
    <w:rsid w:val="008E4C95"/>
    <w:rsid w:val="00BD5367"/>
    <w:rsid w:val="00C9128B"/>
    <w:rsid w:val="00F1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C6F23-7629-4A66-8A84-BDFED2F4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3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99"/>
    <w:rsid w:val="00756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6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10F9-8363-4A60-AD1F-0E4CA054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2017-09-06T07:21:00Z</cp:lastPrinted>
  <dcterms:created xsi:type="dcterms:W3CDTF">2018-01-31T10:15:00Z</dcterms:created>
  <dcterms:modified xsi:type="dcterms:W3CDTF">2018-01-31T10:15:00Z</dcterms:modified>
</cp:coreProperties>
</file>